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18" w:rsidRPr="00C24718" w:rsidRDefault="00C24718" w:rsidP="00C24718">
      <w:pPr>
        <w:jc w:val="center"/>
        <w:rPr>
          <w:rFonts w:ascii="Times New Roman" w:hAnsi="Times New Roman" w:cs="Times New Roman"/>
          <w:b/>
          <w:sz w:val="28"/>
          <w:szCs w:val="28"/>
        </w:rPr>
      </w:pPr>
      <w:r w:rsidRPr="00C24718">
        <w:rPr>
          <w:rFonts w:ascii="Times New Roman" w:hAnsi="Times New Roman" w:cs="Times New Roman"/>
          <w:b/>
          <w:sz w:val="28"/>
          <w:szCs w:val="28"/>
        </w:rPr>
        <w:t>ТЕХНИЧЕСКА СПЕЦИФИКАЦИЯ</w:t>
      </w:r>
    </w:p>
    <w:p w:rsidR="00C24718" w:rsidRPr="00C24718" w:rsidRDefault="00C24718" w:rsidP="00C24718">
      <w:pPr>
        <w:jc w:val="both"/>
        <w:rPr>
          <w:rFonts w:ascii="Times New Roman" w:hAnsi="Times New Roman" w:cs="Times New Roman"/>
          <w:sz w:val="24"/>
          <w:szCs w:val="24"/>
        </w:rPr>
      </w:pPr>
    </w:p>
    <w:p w:rsidR="00590B71" w:rsidRPr="00590B71" w:rsidRDefault="002155CF" w:rsidP="00590B71">
      <w:pPr>
        <w:spacing w:after="0" w:line="360" w:lineRule="auto"/>
        <w:ind w:firstLine="567"/>
        <w:jc w:val="center"/>
        <w:rPr>
          <w:rFonts w:ascii="Times New Roman" w:eastAsia="Calibri" w:hAnsi="Times New Roman" w:cs="Times New Roman"/>
          <w:b/>
          <w:sz w:val="24"/>
        </w:rPr>
      </w:pPr>
      <w:r w:rsidRPr="009446BE">
        <w:rPr>
          <w:rFonts w:ascii="Times New Roman" w:hAnsi="Times New Roman" w:cs="Times New Roman"/>
          <w:sz w:val="24"/>
          <w:szCs w:val="24"/>
        </w:rPr>
        <w:t xml:space="preserve"> </w:t>
      </w:r>
      <w:r w:rsidR="00590B71" w:rsidRPr="00590B71">
        <w:rPr>
          <w:rFonts w:ascii="Times New Roman" w:eastAsia="Calibri" w:hAnsi="Times New Roman" w:cs="Times New Roman"/>
          <w:b/>
          <w:sz w:val="24"/>
        </w:rPr>
        <w:t>ЗА ОБОСОБЕНА ПОЗИЦИЯ № 1: ИЗВЪРШВАНЕ НА СМР ЗА РЕКОНСТРУКЦИЯ И РЕХАБИЛИТАЦИЯ НА УЛИЦИ В ГРАД ЦАР КАЛОЯН, ОБЩИНА ЦАР КАЛОЯН</w:t>
      </w:r>
    </w:p>
    <w:p w:rsidR="00590B71" w:rsidRPr="00590B71" w:rsidRDefault="00590B71" w:rsidP="0035518E">
      <w:pPr>
        <w:spacing w:line="276" w:lineRule="auto"/>
        <w:ind w:left="720"/>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СЪЩЕСТВУВАЩО ПОЛОЖЕНИЕ</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Община Цар Калоян е разположена в североизточната част на Дунавската равнина. Според административно-териториалното деление общината се включва в границите на Област Разград. Съседни на Цар Калоян са общините Разград, Ветово, Иваново и Попово.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Общинският център отстои на 27 км. от град Разград, на 35 км. от град Русе и на 344 км. от столицата град София. Общината се състои от 3 населени места - гр. Цар Калоян, с. Езерче и с. Костанденец.</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Състоянието на четвъртокласната пътна мрежа и голяма част от уличната мрежа в населените места е лошо, като въпреки малкото на брой населени места, селата Езерче и Костанденец нямат пряка връзка.</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Обновяването на техническата инфраструктура е фактор, който стимулира развитието на бизнеса и създава условия за използване на местния потенциал, води до създаване на нови работни места в процесите на нейното изпълнение и експлоатация.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Модерно изградената инфраструктура е предпоставка за привличане на инвестиции и повишаване ефективността на икономическите дейности, тя осигурява по-голяма мобилност на бизнеса и населението, оптимизира трафика и цените за превоз на хора и стоки.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Подобрената улична мрежа ще създаде условия за привличане на повече туристи, които да посещават културните ценности и да участват в културния живот на Общината.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Рехабилитацията на уличната мрежа създава по-добра свързаност на с. Езерче с Републиканската пътна мрежа от по-висок клас /път Е70/ и до голяма степен определя възможностите на населението за достъп до работни места и допълнителни услуги, предоставяни от съседните община Русе, Разград, Варна и Шумен и ще намали времето за пътуване до тях.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Подобрената свързаност с Републиканската пътна мрежа от по-висок клас се явява алтернатива за населението, което мигрира от Общината с цел да получи по-добър достъп до публични услуги и работни места. Това ще позволи задържане на населението в селото и Общината и до възможности за заетост и публични услуги, предоставяни от съседни общини.</w:t>
      </w:r>
    </w:p>
    <w:p w:rsidR="00590B71" w:rsidRPr="00590B71" w:rsidRDefault="00590B71" w:rsidP="00590B71">
      <w:pPr>
        <w:rPr>
          <w:rFonts w:ascii="Times New Roman" w:eastAsia="Calibri" w:hAnsi="Times New Roman" w:cs="Times New Roman"/>
          <w:sz w:val="24"/>
          <w:szCs w:val="24"/>
        </w:rPr>
      </w:pPr>
      <w:r w:rsidRPr="00590B71">
        <w:rPr>
          <w:rFonts w:ascii="Times New Roman" w:eastAsia="Calibri" w:hAnsi="Times New Roman" w:cs="Times New Roman"/>
          <w:sz w:val="24"/>
          <w:szCs w:val="24"/>
        </w:rPr>
        <w:t>Целите на Проекта са съгласувани с местни, регионални и национални приоритети за развитие и ще допринесат за:</w:t>
      </w:r>
    </w:p>
    <w:p w:rsidR="00590B71" w:rsidRPr="00590B71" w:rsidRDefault="00590B71" w:rsidP="00590B71">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 xml:space="preserve">постигане на Стратегическа цел 2: Пространствено и териториално развитие, заложена в Общинския план за развитие на Община Цар Калоян, в съответствие </w:t>
      </w:r>
      <w:r w:rsidRPr="00590B71">
        <w:rPr>
          <w:rFonts w:ascii="Times New Roman" w:eastAsia="Times New Roman" w:hAnsi="Times New Roman" w:cs="Times New Roman"/>
          <w:sz w:val="24"/>
          <w:szCs w:val="24"/>
          <w:lang w:eastAsia="bg-BG"/>
        </w:rPr>
        <w:lastRenderedPageBreak/>
        <w:t>с Приоритет 2 – Подобряване на техническата инфраструктура и състоянието на околната среда;</w:t>
      </w:r>
    </w:p>
    <w:p w:rsidR="00590B71" w:rsidRPr="00590B71" w:rsidRDefault="00590B71" w:rsidP="00590B71">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постигане на Стратегическа цел 2: 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 заложена в Областната стратегия за развитие на област Разград (2014-2020 г.);</w:t>
      </w:r>
    </w:p>
    <w:p w:rsidR="00590B71" w:rsidRPr="00590B71" w:rsidRDefault="00590B71" w:rsidP="00590B71">
      <w:pPr>
        <w:numPr>
          <w:ilvl w:val="0"/>
          <w:numId w:val="1"/>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постигане на Специфична цел 4: 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 на  Националната стратегия за регионално развитие (2012-2022г.).</w:t>
      </w:r>
    </w:p>
    <w:p w:rsidR="00590B71" w:rsidRPr="00590B71" w:rsidRDefault="00590B71" w:rsidP="00590B71">
      <w:pPr>
        <w:jc w:val="both"/>
        <w:rPr>
          <w:rFonts w:ascii="Times New Roman" w:eastAsia="Calibri" w:hAnsi="Times New Roman" w:cs="Times New Roman"/>
          <w:sz w:val="24"/>
          <w:szCs w:val="24"/>
        </w:rPr>
      </w:pPr>
      <w:bookmarkStart w:id="0" w:name="_Hlk10051642"/>
      <w:r w:rsidRPr="00590B71">
        <w:rPr>
          <w:rFonts w:ascii="Times New Roman" w:eastAsia="Calibri" w:hAnsi="Times New Roman" w:cs="Times New Roman"/>
          <w:b/>
          <w:sz w:val="24"/>
          <w:szCs w:val="24"/>
        </w:rPr>
        <w:t>Основната цел на проект</w:t>
      </w:r>
      <w:r w:rsidRPr="00590B71">
        <w:rPr>
          <w:rFonts w:ascii="Times New Roman" w:eastAsia="Calibri" w:hAnsi="Times New Roman" w:cs="Times New Roman"/>
          <w:sz w:val="24"/>
          <w:szCs w:val="24"/>
        </w:rPr>
        <w:t xml:space="preserve"> „Реконструкция и рехабилитация на уличната мрежа в Община Цар Калоян“ е чрез подобряване на част от техническата инфраструктура да се допринесе за намаляване на съществуващите различия между селските и градските райони. Да се повиши качеството на живот в Общината и да  се допринесе за ограничаването на диспропорциите в териториалното разпределение на населението и обезлюдяването на Община Цар Калоян. По този начин ще се постигне както съхраняването на с. Езерче и гр. Цар Калоян, така и ще се осигури поддържането на образователните услуги и културни услуги и осигуряването на работни места.</w:t>
      </w:r>
    </w:p>
    <w:p w:rsidR="00590B71" w:rsidRPr="00590B71" w:rsidRDefault="00590B71" w:rsidP="00590B71">
      <w:pPr>
        <w:rPr>
          <w:rFonts w:ascii="Times New Roman" w:eastAsia="Calibri" w:hAnsi="Times New Roman" w:cs="Times New Roman"/>
          <w:sz w:val="24"/>
          <w:szCs w:val="24"/>
        </w:rPr>
      </w:pPr>
      <w:r w:rsidRPr="00590B71">
        <w:rPr>
          <w:rFonts w:ascii="Times New Roman" w:eastAsia="Calibri" w:hAnsi="Times New Roman" w:cs="Times New Roman"/>
          <w:sz w:val="24"/>
          <w:szCs w:val="24"/>
        </w:rPr>
        <w:t>Конкретните цели на Проекта са:</w:t>
      </w:r>
    </w:p>
    <w:p w:rsidR="00590B71" w:rsidRPr="00590B71" w:rsidRDefault="00590B71" w:rsidP="00590B71">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възстановяване и подобряване на транспортно-експлоатационните качества на улиците;</w:t>
      </w:r>
    </w:p>
    <w:p w:rsidR="00590B71" w:rsidRPr="00590B71" w:rsidRDefault="00590B71" w:rsidP="00590B71">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подобряване на техническите им елементи;</w:t>
      </w:r>
    </w:p>
    <w:p w:rsidR="00590B71" w:rsidRPr="00590B71" w:rsidRDefault="00590B71" w:rsidP="00590B71">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гарантиране на носимоспособността и равността на настилката;</w:t>
      </w:r>
    </w:p>
    <w:p w:rsidR="00590B71" w:rsidRPr="00590B71" w:rsidRDefault="00590B71" w:rsidP="00590B71">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добро отводняване на включените участъци;</w:t>
      </w:r>
    </w:p>
    <w:p w:rsidR="00590B71" w:rsidRPr="00590B71" w:rsidRDefault="00590B71" w:rsidP="00590B71">
      <w:pPr>
        <w:numPr>
          <w:ilvl w:val="0"/>
          <w:numId w:val="2"/>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повишаване безопасността на населението.</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Пътната инфраструктура на населените места на територията на Община Цар Калоян има необходимост да бъде постоянно поддържана в добро техническо състояние.</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При оглед на уличната мрежа в Община Цар Калоян се констатира, че има участъци от нея, които не са в добро състояние. Вследствие на износените асфалтови настилки е нарушено пътното тяло на улиците и пътищата, изразяващо се в компрометиране на големи участъци на асфалтовата настилка и трошенокаменната основа. На много места има улягане на пътната настилка вследствие от прокопавания и не добре изпълнени и възстановени работи. Отделно са се образували големи дупки, и е необходимо да се допълва с трошен камък за по добра основа и след това да се извърши кърпежа с асфалтова смес.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Съгласно констатираните нарушения, трябва да се извърши ремонт на асфалтовите настилки, с което да се възстанови експлоатационната им годност и  да се удължи срока на експлоатация. За да се извърши качествено частичното асфалтиране на местата с висока интензивност на движение, трябва да е с асфалтополагаща машина. Преди да се положи асфалтобетона, старата асфалтова настилка се фрезова и след това се прави битумния разлив за добра спойка.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При извършването на ремонтите се налага някои РШ и дъждоприемни решетки да се повдигат или свалят, в зависимост от нивото на асфалта, както и да се изградят нови </w:t>
      </w:r>
      <w:r w:rsidRPr="00590B71">
        <w:rPr>
          <w:rFonts w:ascii="Times New Roman" w:eastAsia="Calibri" w:hAnsi="Times New Roman" w:cs="Times New Roman"/>
          <w:sz w:val="24"/>
          <w:szCs w:val="24"/>
        </w:rPr>
        <w:lastRenderedPageBreak/>
        <w:t xml:space="preserve">такива. В участъци, където ще се извършва ремонта на асфалтовите настилки, може да има изпочупени и липсващи бордюри и е необходимо да се възстановят или поставят нови.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Наред с основен ремонт на асфалтовите настилки по улиците на места е необходимо само да се изкърпят големите дупки и запълнят единични пукнатини с битумна емулсия. Предимно ще се извършва текущ ремонт на появилите се дупки по асфалтовата настилка, като се изрязват, обдухват от прах и изрязани парчета асфалт и обливат с битумна емулсия. Наред с текущия ремонт на уличната мрежа ще е необходимо ремонтиране на всички прилежащи съоръжения-укрепване на скатове и пътно платно чрез изграждане на подпорни стени, изграждане и ремонтиране на водостоци, отводнителни решетки и др. </w:t>
      </w:r>
    </w:p>
    <w:bookmarkEnd w:id="0"/>
    <w:p w:rsidR="00590B71" w:rsidRPr="00590B71" w:rsidRDefault="00590B71" w:rsidP="00590B71">
      <w:pPr>
        <w:spacing w:line="276" w:lineRule="auto"/>
        <w:rPr>
          <w:rFonts w:ascii="Times New Roman" w:eastAsia="Calibri" w:hAnsi="Times New Roman" w:cs="Times New Roman"/>
          <w:sz w:val="24"/>
          <w:szCs w:val="24"/>
        </w:rPr>
      </w:pPr>
    </w:p>
    <w:p w:rsidR="00590B71" w:rsidRPr="00590B71" w:rsidRDefault="00590B71" w:rsidP="00590B71">
      <w:pPr>
        <w:numPr>
          <w:ilvl w:val="0"/>
          <w:numId w:val="5"/>
        </w:numPr>
        <w:spacing w:line="276" w:lineRule="auto"/>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ОСНОВНИ ИЗИСКВАНИЯ ПО ВРЕМЕ НА СТРОИТЕЛСТВОТО</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Предвидените за изпълнение СМР се извършват съгласно техническите изисквания. Документирането на извършените СМР се осъществява чрез протоколи за изпълнени строително-монтажни работи, в които се отразяват видовете работи, количества и единични цени. В строежа да се влагат само строителни продукти, в съответствие на съществените изисквания към строежите и да имат оценка на съответствието съгласно Закона за техническите изисквания към продуктите, съответно на Наредбата за съществените изисквания и оценяване съответствието на строителните продукти.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При изпълнението на отделните видове СМР трябва да се имат предвид и спазват следните основни изисквания:</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Стриктно спазване на „Правила за извършване и приемане на строителни и монтажни работи“ (ПИПСМР) в съответните раздели (земни работи, монтажни работи, бетонови работи и др.);</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Спазване на проектните изисквания, стандарти и изисквания на фирмите-доставчици относно: транспорт, съхраняване, инсталиране, хидравлично изпитване, фундиране, засипване и т.н.; да се изискват съответните сертификати за съответствие на влаганите материали;</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 xml:space="preserve">Необходимо е преди започване ремонта на даден участък да се извърши уточняване и отлагане на местоположението на съществуващите подземни съоръжения в обхвата му. Това следва да се реализира от службата по подземен кадастър с участието и на съответните специализирани ведомства (ЛКС, НЕК, БТК, ВиК и др.); </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При извършването на СМР да се запазят експлоатационните характеристики на подземните комуникации;</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Земните работи следва да се извършват в съответствие с ПИПСМР –Раздел І „Земни работи и земни съоръжения”;</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Влаганите материали и изделия, използвани при изпълнението на отделните дейности, трябва да отговарят по вид, тип и качество на съответните стандартизационни документи. Не следва да се допуска използването на материали и изделия без сертификат за качество и с неизвестна технология за приложението им;</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 xml:space="preserve">Изпълнението на строително-монтажните работи трябва да се съгласува със съответните органи на Община Цар Калоян  и КАТ за безконфликтна </w:t>
      </w:r>
      <w:r w:rsidRPr="00590B71">
        <w:rPr>
          <w:rFonts w:ascii="Times New Roman" w:eastAsia="Times New Roman" w:hAnsi="Times New Roman" w:cs="Times New Roman"/>
          <w:sz w:val="24"/>
          <w:szCs w:val="24"/>
          <w:lang w:eastAsia="bg-BG"/>
        </w:rPr>
        <w:lastRenderedPageBreak/>
        <w:t xml:space="preserve">организация на движението по време на строителството при съблюдаване изискванията на Наредба №3/16.08.2010 г. „За временната организация и безопасност на движението при извършване на строителни и монтажни работи по пътищата и улиците“; </w:t>
      </w:r>
    </w:p>
    <w:p w:rsidR="00590B71" w:rsidRPr="00590B71" w:rsidRDefault="00590B71" w:rsidP="00590B71">
      <w:pPr>
        <w:numPr>
          <w:ilvl w:val="0"/>
          <w:numId w:val="3"/>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Изпълнителят на обекта е длъжен преди започване на строителството и по време на самото строителство да вземе необходимите мерки за осигуряване на безопасността, хигиената на труда и пожарната безопасност при извършването на СМР.</w:t>
      </w:r>
    </w:p>
    <w:p w:rsidR="00590B71" w:rsidRPr="00590B71" w:rsidRDefault="00590B71" w:rsidP="00590B71">
      <w:p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p>
    <w:p w:rsidR="00590B71" w:rsidRPr="00590B71" w:rsidRDefault="00590B71" w:rsidP="00590B71">
      <w:pPr>
        <w:numPr>
          <w:ilvl w:val="0"/>
          <w:numId w:val="5"/>
        </w:numPr>
        <w:spacing w:line="276" w:lineRule="auto"/>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ВРЕМЕННА ОРГАНИЗАЦИЯ И БЕЗОПАСНОСТ НА ДВИЖЕНИЕТО (ВОБД).</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ВОБД  да бъде съобразена с етапите на изпълнение на ремонта и засегнатите участъци. ВОБД ще се реализира по схеми съгласно Наредба №3 „За временната организация и безопасност на движението при извършване на строителни и монтажни работи по пътищата и улиците“ (ВОБД).</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Пътните знаци следва да бъдат втори типоразмер по БДС 1517 или еквивалент и втори клас фолио с едрозърнеста структура на отразяващия слой съгласно чл. 7 и чл. 8 от Наредба No 18 „За сигнализиране на пътищата с пътни знаци“ и да отговарят на минималните светло технически изисквания съгласно Приложение №5 на Наредба №3 за ВОБД.</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За целите на ВОБД полигонът на ремонтните работи да бъде разделен на участъци, в които движението ще бъде отбивано последователно, съгласно предвижданията на проекта. Временните знаци се поставят на преносими стойки, устойчиви срещу преобръщане от вятър. Те се поставят преди започване на ремонтните дейности и се отстраняват веднага след тяхното окончателно завършване. Нощем надлъжното ограждане да се сигнализира с постоянни или мигащи светлини.</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Лицата, които извършват СМР в обхвата на улицата, трябва да носят отличителен знак (С12) „Облекло с ярък цвят и светлоотразителни ленти”.</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Пътните знаци на постоянната сигнализация, които не съответстват на временната, трябва да се отстранят или да се покрият с непрозрачен калъф или фолио с черен или сив цвят.</w:t>
      </w:r>
    </w:p>
    <w:p w:rsidR="00590B71" w:rsidRPr="00590B71" w:rsidRDefault="00590B71" w:rsidP="00590B71">
      <w:pPr>
        <w:numPr>
          <w:ilvl w:val="0"/>
          <w:numId w:val="5"/>
        </w:numPr>
        <w:spacing w:line="276" w:lineRule="auto"/>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ОПИСАНИЕ НА МЕРКИТЕ ЗА ОПАЗВАНЕ НА ОКОЛНАТА СРЕДА.</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Изпълнителят е длъжен преди започване на ремонта и по време на неговото изпълнение да вземе необходимите мерки за опазване на околната среда, за осигуряване на безопасността, хигиената на труда и пожарната безопасност при извършването на СМР.</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Основната причина за нарушаване на околната среда при ремонтни дейности са изкопните работи и фрезоването, което неминуемо засяга терените, в които се извършва.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Забранено е безредното складиране, разпиляване и изоставяне на строителни материали и машини –асфалтови изрезки, трошен камък, развалени строителни машини и др.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При изпълнение на строителните дейности изпълнителят трябва да вземе съответните мерки за намаляване на потенциалните отрицателни въздействия на околната среда: </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lastRenderedPageBreak/>
        <w:t>избраният изпълнител осигурява за собствена сметка изхвърлянето на течни и твърди отпадъци;</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зареждане с гориво-смазочните материали се използват най-близко разположените автобази;</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генериране на опасни отпадъци / асфалтови/ се сключва договор с фирма, която има лиценз за тяхното третиране;</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ограничаване на въздействието основно в работната среда и върху населението е необходимо да се предприемат съответните мерки: оросяване, контрол върху техническото състояние на механизацията и транспорта;</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вода за питейни нужди на строителната площадка се осигурява с водоноски или бутилирана;</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против утечки на масла се извършва ежесменен контрол на техническото състояние на машините;</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битово-фекалните води се използват съществуващи или химически тоалетни;</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за предотвратяване замърсяване на почвите се извършва контрол на строителната механизация и транспортните коли. Транспортните средства се измиват на определените за тази цел места; транспортните коли се покриват;</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организацията на строителство да изключва активиране на срутища;</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в случай на необходимост -извършването на взривните работи става по специален проект, без разлет, за запазване на прилежащата растителност;</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унищожаването на дървесна растителност и храсти да бъде във възможните минимални размери, след съгласуване с компетентния орган;</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използваните машини и агрегати се поддържат в добро техническо състояние;</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ауспусите на транспортните и строителни машини се снабдяват с шумозаглушители;</w:t>
      </w:r>
    </w:p>
    <w:p w:rsidR="00590B71" w:rsidRPr="00590B71" w:rsidRDefault="00590B71" w:rsidP="00590B71">
      <w:pPr>
        <w:numPr>
          <w:ilvl w:val="0"/>
          <w:numId w:val="4"/>
        </w:numPr>
        <w:shd w:val="clear" w:color="000000" w:fill="FFFFFF"/>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590B71">
        <w:rPr>
          <w:rFonts w:ascii="Times New Roman" w:eastAsia="Times New Roman" w:hAnsi="Times New Roman" w:cs="Times New Roman"/>
          <w:sz w:val="24"/>
          <w:szCs w:val="24"/>
          <w:lang w:eastAsia="bg-BG"/>
        </w:rPr>
        <w:t xml:space="preserve">да не се допуска работа на празен ход на транспортните и строителни машини. Съгласно българското законодателство използването на инертни материали, бетонови смеси и асфалтови продукти става само от предприятия, които притежават съответния лиценз за извличането и производството им. Необходимо е изпълнителят да вземе пред вид разпоредбите на Закона за управление на отпадъците (ДВ, бр.86/2003 г., като представи декларация или предварителен договор за поемане задължение за преработка на строителния отпадък от асфалт. </w:t>
      </w:r>
    </w:p>
    <w:p w:rsidR="00590B71" w:rsidRPr="00590B71" w:rsidRDefault="00590B71" w:rsidP="00590B71">
      <w:pPr>
        <w:numPr>
          <w:ilvl w:val="0"/>
          <w:numId w:val="4"/>
        </w:numPr>
        <w:spacing w:line="276" w:lineRule="auto"/>
        <w:contextualSpacing/>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изпълнителят да представи „План за управление на строителните отпадъци”, включващ прогноза за образуване на строителни отпадъци (СО) и степента на тяхното материално оползотворяване; прогноза за вида и количеството на продуктите от оползотворени СО, които се влагат в строежа; мерки, които се предприемат при управлението на образуваните СО. Планът за управление на СО да се изпълни в съответствие с разпоредбите на „Наредба за управление на строителните отпадъци и за влагане на рециклирани строителни материали”(приета с ПМС № 277 от 5.11.2012г., обн. ДВ бр. 89 от 13 ноември 2012г.)</w:t>
      </w:r>
    </w:p>
    <w:p w:rsidR="00590B71" w:rsidRPr="00590B71" w:rsidRDefault="00590B71" w:rsidP="00590B71">
      <w:pPr>
        <w:spacing w:line="276" w:lineRule="auto"/>
        <w:rPr>
          <w:rFonts w:ascii="Times New Roman" w:eastAsia="Calibri" w:hAnsi="Times New Roman" w:cs="Times New Roman"/>
          <w:sz w:val="24"/>
          <w:szCs w:val="24"/>
        </w:rPr>
      </w:pPr>
    </w:p>
    <w:p w:rsidR="00590B71" w:rsidRPr="00590B71" w:rsidRDefault="00590B71" w:rsidP="00590B71">
      <w:pPr>
        <w:numPr>
          <w:ilvl w:val="0"/>
          <w:numId w:val="5"/>
        </w:numPr>
        <w:spacing w:line="276" w:lineRule="auto"/>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БЕЗОПАСНОСТ НА ТРУДА, ЗДРАВОСЛОВНИ УСЛОВИЯ НА ТРУД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При изпълнението на обекта изпълнителят трябва да съблюдават строго действащите нормативни документи по БХТПБ. С оглед характера на СМР и предстоящите за изпълнение дейности и операции се налага осигуряването на лични предпазни средства и специално работно облекло. Допуснатите до работа на площадката на обекта </w:t>
      </w:r>
      <w:r w:rsidRPr="00590B71">
        <w:rPr>
          <w:rFonts w:ascii="Times New Roman" w:eastAsia="Calibri" w:hAnsi="Times New Roman" w:cs="Times New Roman"/>
          <w:sz w:val="24"/>
          <w:szCs w:val="24"/>
        </w:rPr>
        <w:lastRenderedPageBreak/>
        <w:t xml:space="preserve">строителни машини трябва да притежават паспорти и съответните инструкции по БХТПБ. </w:t>
      </w:r>
    </w:p>
    <w:p w:rsidR="00590B71" w:rsidRPr="00590B71" w:rsidRDefault="00590B71" w:rsidP="00590B71">
      <w:pPr>
        <w:numPr>
          <w:ilvl w:val="0"/>
          <w:numId w:val="5"/>
        </w:numPr>
        <w:spacing w:line="276" w:lineRule="auto"/>
        <w:contextualSpacing/>
        <w:rPr>
          <w:rFonts w:ascii="Times New Roman" w:eastAsia="Calibri" w:hAnsi="Times New Roman" w:cs="Times New Roman"/>
          <w:noProof/>
          <w:sz w:val="24"/>
          <w:szCs w:val="24"/>
        </w:rPr>
      </w:pPr>
      <w:r w:rsidRPr="00590B71">
        <w:rPr>
          <w:rFonts w:ascii="Times New Roman" w:eastAsia="Calibri" w:hAnsi="Times New Roman" w:cs="Times New Roman"/>
          <w:sz w:val="24"/>
          <w:szCs w:val="24"/>
        </w:rPr>
        <w:t>МАТЕРИАЛИ</w:t>
      </w:r>
      <w:r w:rsidRPr="00590B71">
        <w:rPr>
          <w:rFonts w:ascii="Times New Roman" w:eastAsia="Calibri" w:hAnsi="Times New Roman" w:cs="Times New Roman"/>
          <w:noProof/>
          <w:sz w:val="24"/>
          <w:szCs w:val="24"/>
        </w:rPr>
        <w:t>. СЕРТИФИКАТИ.</w:t>
      </w:r>
    </w:p>
    <w:p w:rsidR="00590B71" w:rsidRPr="00590B71" w:rsidRDefault="00590B71" w:rsidP="00590B71">
      <w:pPr>
        <w:spacing w:line="360" w:lineRule="auto"/>
        <w:ind w:firstLine="708"/>
        <w:contextualSpacing/>
        <w:jc w:val="both"/>
        <w:rPr>
          <w:rFonts w:ascii="Times New Roman" w:eastAsia="Calibri" w:hAnsi="Times New Roman" w:cs="Times New Roman"/>
          <w:noProof/>
          <w:sz w:val="24"/>
          <w:szCs w:val="24"/>
          <w:lang w:eastAsia="fr-FR"/>
        </w:rPr>
      </w:pPr>
      <w:r w:rsidRPr="00590B71">
        <w:rPr>
          <w:rFonts w:ascii="Times New Roman" w:eastAsia="Calibri" w:hAnsi="Times New Roman" w:cs="Times New Roman"/>
          <w:noProof/>
          <w:sz w:val="24"/>
          <w:szCs w:val="24"/>
          <w:lang w:eastAsia="fr-FR"/>
        </w:rPr>
        <w:t xml:space="preserve">Влаганите строителни материали, следва да отговарят на Закона за техническите изисквания на продуктите и подзаконовите нормативни актове. </w:t>
      </w:r>
    </w:p>
    <w:p w:rsidR="00590B71" w:rsidRPr="00590B71" w:rsidRDefault="00590B71" w:rsidP="00590B71">
      <w:pPr>
        <w:spacing w:line="360" w:lineRule="auto"/>
        <w:ind w:firstLine="708"/>
        <w:contextualSpacing/>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Строителните продукти се влагат в строежите въз основа на съставени декларации, посочващи предвидената употреба или употреби, и придружени от инструкция и информация за безопасност на български език. Строителните продукти, в</w:t>
      </w:r>
      <w:r w:rsidRPr="00590B71">
        <w:rPr>
          <w:rFonts w:ascii="Times New Roman" w:eastAsia="Calibri" w:hAnsi="Times New Roman" w:cs="Times New Roman"/>
          <w:noProof/>
          <w:sz w:val="24"/>
          <w:szCs w:val="24"/>
        </w:rPr>
        <w:t xml:space="preserve">лагани в обекта да бъдат придружени със сертификати за произход и/или декларация за експлоатационни показатели съгласно изискванията на Регламент (ЕС) 305/2011, </w:t>
      </w:r>
      <w:r w:rsidRPr="00590B71">
        <w:rPr>
          <w:rFonts w:ascii="Times New Roman" w:eastAsia="Calibri" w:hAnsi="Times New Roman" w:cs="Times New Roman"/>
          <w:sz w:val="24"/>
          <w:szCs w:val="24"/>
        </w:rPr>
        <w:t>и образеца, даден в приложение ІІІ на Регламент (ЕС) 305/2011, когато за строителния продукт има хармонизиран европейски стандарт или е издадена ЕТО, и/или декларация за характеристиките на строителния продукт, когато той не е обхванат от хармонизиран европейски стандарт или за него не е издадена ЕТО, съставена по образец. 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590B71" w:rsidRPr="00590B71" w:rsidRDefault="00590B71" w:rsidP="00590B71">
      <w:pPr>
        <w:spacing w:line="360" w:lineRule="auto"/>
        <w:ind w:firstLine="708"/>
        <w:contextualSpacing/>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Строителни продукти, произведени индивидуално или по заявка, не чрез серийно производство, за влагане в един-единствен строеж, се влагат в строежите въз основа на декларация за съответствие с изискванията на инвестиционния проект за конкретния строеж или заявката на клиента. Декларацията се издава от производителя в зависимост от изискванията въз основа на протоколи от изпитване, приложени изчисления и/или документи за съответствие на вложените материали.</w:t>
      </w:r>
    </w:p>
    <w:p w:rsidR="00590B71" w:rsidRPr="00590B71" w:rsidRDefault="00590B71" w:rsidP="00590B71">
      <w:pPr>
        <w:spacing w:line="360" w:lineRule="auto"/>
        <w:ind w:firstLine="708"/>
        <w:contextualSpacing/>
        <w:jc w:val="both"/>
        <w:rPr>
          <w:rFonts w:ascii="Times New Roman" w:eastAsia="Calibri" w:hAnsi="Times New Roman" w:cs="Times New Roman"/>
          <w:noProof/>
          <w:sz w:val="24"/>
          <w:szCs w:val="24"/>
        </w:rPr>
      </w:pPr>
      <w:r w:rsidRPr="00590B71">
        <w:rPr>
          <w:rFonts w:ascii="Times New Roman" w:eastAsia="Calibri" w:hAnsi="Times New Roman" w:cs="Times New Roman"/>
          <w:noProof/>
          <w:sz w:val="24"/>
          <w:szCs w:val="24"/>
        </w:rPr>
        <w:t>Материалите които ще използва от Изпълнителя следва да съответстват с изискванията на проекта, да отговарят на минималните изисквания за качество на БДС EN или еквивалентно, като еквивалентните следва да гарантират същото или по-високо качество.</w:t>
      </w:r>
    </w:p>
    <w:p w:rsidR="00590B71" w:rsidRPr="00590B71" w:rsidRDefault="00590B71" w:rsidP="00590B71">
      <w:pPr>
        <w:numPr>
          <w:ilvl w:val="0"/>
          <w:numId w:val="5"/>
        </w:numPr>
        <w:spacing w:line="276" w:lineRule="auto"/>
        <w:contextualSpacing/>
        <w:rPr>
          <w:rFonts w:ascii="Times New Roman" w:eastAsia="Calibri" w:hAnsi="Times New Roman" w:cs="Times New Roman"/>
          <w:sz w:val="24"/>
          <w:szCs w:val="24"/>
        </w:rPr>
      </w:pPr>
      <w:r w:rsidRPr="00590B71">
        <w:rPr>
          <w:rFonts w:ascii="Times New Roman" w:eastAsia="Calibri" w:hAnsi="Times New Roman" w:cs="Times New Roman"/>
          <w:sz w:val="24"/>
          <w:szCs w:val="24"/>
        </w:rPr>
        <w:t>ИЗИСКВАНИЯ ЗА СИГУРНОСТ</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От самото начало и до завършването на работата на обекта, Изпълнителят ще носи отговорност за защита от вандализъм, кражба или злонамерени действия на цялата си работа, материали и оборудване.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 xml:space="preserve">Защита на собствеността: Изпълнителят ще отговаря за опазването и охраната на собствеността, частна или държавна, която се намира на или е в близост до работната площадка, срещу щети или вреди вследствие на работата му. Всяка щета или повреда причинена от действие, пропуск или небрежност от страна на Изпълнителя, ще бъде възстановена по подходящ и задоволителен начин, от и за сметка на Изпълнителя. </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lastRenderedPageBreak/>
        <w:t>Изпълнителят ще възстанови всички площи и вещи повредени или нарушени от неговите действия. В случай на предявен иск за щета или твърдение за нанесена вреда върху собственост, в резултат на работата по този Договор, Изпълнителят ще носи отговорност за всички разходи, свързани с разрешаването на или защитата при тези искове. Изпълнителят трябва да извърши нужното почистване и възстановяване, което се изисква при предаването на завършените подобекти, рехабилитационни дейности и оборудване, в съответствие с целите и смисъла на тези спецификации.</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Противопожарна защита: Изпълнителят трябва да предприеме всички необходими превантивни мерки, за да предотврати избухването на пожар на работната площадка или в съседни на подобектите сгради и пр. Изпълнителят трябва да осигури достатъчно оборудване за потушаване на евентуален пожар. Не се разрешава никакво горене на отпадъци или отломки. Изпълнителят трябва веднага да подаде сигнал за тревога на местните власти и Възложителя, в случай че има опасност от пожар или експлозия в района на работите, в следствие на разположени резервоари за гориво или подобни опасни средства или устройства. За да предотврати появата на пожар или експлозия, Изпълнителят трябва да упражнява предпазните мерки за безопасност и трябва да се придържа към всички инструкции, издадени от местните власти и Възложителя.</w:t>
      </w:r>
    </w:p>
    <w:p w:rsidR="00590B71" w:rsidRPr="00590B71" w:rsidRDefault="00590B71" w:rsidP="00590B71">
      <w:pPr>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Опазване на дърветата и зелените площи: Без одобрението на Възложителя на Изпълнителя не е разрешено да премахва, премества или реже каквито и да са дървета, намиращи се на обществени места или тротоари. Защитата на всички съществуващи дървета и тревни площи, които се намират в района на работите, е отговорност на Изпълнителя. Ако има ненужно унищожени или повредени дървета или тревни площи, то Изпълнителят трябва да замени повреденото или унищожено дърво и/или зелена площ с ново, което да е равностойно или с по-добро качество и характеристики.</w:t>
      </w:r>
    </w:p>
    <w:p w:rsidR="00590B71" w:rsidRPr="00590B71" w:rsidRDefault="00590B71" w:rsidP="00590B71">
      <w:pPr>
        <w:rPr>
          <w:rFonts w:ascii="Times New Roman" w:eastAsia="Calibri" w:hAnsi="Times New Roman" w:cs="Times New Roman"/>
          <w:sz w:val="24"/>
          <w:szCs w:val="24"/>
        </w:rPr>
      </w:pPr>
    </w:p>
    <w:p w:rsidR="00590B71" w:rsidRPr="00590B71" w:rsidRDefault="00590B71" w:rsidP="00590B71">
      <w:pPr>
        <w:numPr>
          <w:ilvl w:val="0"/>
          <w:numId w:val="5"/>
        </w:numPr>
        <w:spacing w:line="276" w:lineRule="auto"/>
        <w:contextualSpacing/>
        <w:jc w:val="both"/>
        <w:rPr>
          <w:rFonts w:ascii="Times New Roman" w:eastAsia="Calibri" w:hAnsi="Times New Roman" w:cs="Times New Roman"/>
          <w:sz w:val="24"/>
          <w:szCs w:val="24"/>
        </w:rPr>
      </w:pPr>
      <w:r w:rsidRPr="00590B71">
        <w:rPr>
          <w:rFonts w:ascii="Times New Roman" w:eastAsia="Calibri" w:hAnsi="Times New Roman" w:cs="Times New Roman"/>
          <w:sz w:val="24"/>
          <w:szCs w:val="24"/>
        </w:rPr>
        <w:t>ОПИСАНИЕ НА СТРОИТЕЛНО-МОНТАЖНИТЕ РАБОТИ ЗА ОБОСОБЕНАТА ПОЗИЦИЯ</w:t>
      </w:r>
    </w:p>
    <w:p w:rsidR="00590B71" w:rsidRPr="00590B71" w:rsidRDefault="00590B71" w:rsidP="00590B71">
      <w:pPr>
        <w:spacing w:line="276" w:lineRule="auto"/>
        <w:jc w:val="both"/>
        <w:rPr>
          <w:rFonts w:ascii="Times New Roman" w:eastAsia="Calibri" w:hAnsi="Times New Roman" w:cs="Times New Roman"/>
          <w:sz w:val="24"/>
          <w:szCs w:val="24"/>
        </w:rPr>
      </w:pPr>
    </w:p>
    <w:tbl>
      <w:tblPr>
        <w:tblStyle w:val="TableGrid"/>
        <w:tblW w:w="0" w:type="auto"/>
        <w:tblInd w:w="137" w:type="dxa"/>
        <w:tblLook w:val="04A0" w:firstRow="1" w:lastRow="0" w:firstColumn="1" w:lastColumn="0" w:noHBand="0" w:noVBand="1"/>
      </w:tblPr>
      <w:tblGrid>
        <w:gridCol w:w="438"/>
        <w:gridCol w:w="6083"/>
        <w:gridCol w:w="970"/>
        <w:gridCol w:w="1434"/>
      </w:tblGrid>
      <w:tr w:rsidR="00590B71" w:rsidRPr="00590B71" w:rsidTr="00380584">
        <w:trPr>
          <w:trHeight w:val="1005"/>
        </w:trPr>
        <w:tc>
          <w:tcPr>
            <w:tcW w:w="438"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Дейности</w:t>
            </w:r>
          </w:p>
        </w:tc>
        <w:tc>
          <w:tcPr>
            <w:tcW w:w="970"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Мярка</w:t>
            </w:r>
          </w:p>
        </w:tc>
        <w:tc>
          <w:tcPr>
            <w:tcW w:w="1434"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Одобрено количество</w:t>
            </w:r>
          </w:p>
        </w:tc>
      </w:tr>
      <w:tr w:rsidR="00590B71" w:rsidRPr="00590B71" w:rsidTr="00380584">
        <w:trPr>
          <w:trHeight w:val="498"/>
        </w:trPr>
        <w:tc>
          <w:tcPr>
            <w:tcW w:w="438"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ПОДОБЕКТ 1 :  Улицa “Петър Берон” в гр. Цар Калоян - 603,00 м²</w:t>
            </w:r>
          </w:p>
        </w:tc>
        <w:tc>
          <w:tcPr>
            <w:tcW w:w="970"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1434" w:type="dxa"/>
            <w:hideMark/>
          </w:tcPr>
          <w:p w:rsidR="00590B71" w:rsidRPr="00590B71" w:rsidRDefault="00590B71" w:rsidP="00590B71">
            <w:pPr>
              <w:spacing w:line="276" w:lineRule="auto"/>
              <w:jc w:val="right"/>
              <w:rPr>
                <w:rFonts w:ascii="Times New Roman" w:eastAsia="Calibri" w:hAnsi="Times New Roman" w:cs="Times New Roman"/>
                <w:b/>
                <w:bCs/>
              </w:rPr>
            </w:pPr>
            <w:r w:rsidRPr="00590B71">
              <w:rPr>
                <w:rFonts w:ascii="Times New Roman" w:eastAsia="Calibri" w:hAnsi="Times New Roman" w:cs="Times New Roman"/>
                <w:b/>
                <w:b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№2 Земни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i/>
                <w:iCs/>
              </w:rPr>
            </w:pPr>
            <w:r w:rsidRPr="00590B71">
              <w:rPr>
                <w:rFonts w:ascii="Times New Roman" w:eastAsia="Calibri" w:hAnsi="Times New Roman" w:cs="Times New Roman"/>
                <w:b/>
                <w:bCs/>
                <w:i/>
                <w:iCs/>
              </w:rPr>
              <w:t> </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Изкоп на неподходящ повърхностен пласт, включително натоварване, транспортиране на определено разстояние, разтоварване на депо и оформянето му.</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5,60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Технологично подравняване на трошенокаменна настилка, включително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372,80</w:t>
            </w:r>
          </w:p>
        </w:tc>
      </w:tr>
      <w:tr w:rsidR="00590B71" w:rsidRPr="00590B71" w:rsidTr="00380584">
        <w:trPr>
          <w:trHeight w:val="495"/>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№3 Асфалтови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lastRenderedPageBreak/>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първи битумен разлив за връзка върху добре почистена основа,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603,00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втори (свързващ) битумен разлив за връзка,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575,00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порьозен асфалтобетон  / биндер /, с дебелина след уплътняването 4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52,90</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4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57,89</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№4 Пътни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трошенокаменна настилка, фракция 0-63мм, включително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14,80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бетонови бордюри с размер 18/35/50,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200,00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30,00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№7 Пътна маркировка и сигнализация</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хоризонтална маркировка от боя с перли- машинно и ръчно, съгласно чертежите,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6,26</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на стандартни, рефлектиращи пътни знаци, включително стойки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Укрепване на стандартни знаци,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Временна организация на движението, както и всички необходими изисквания, съгласно съгласуването с органите на РДВР-ПП (КАТ).</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глоб.  сума</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Подобект 2 : Улица "Преслав" в гр. Цар Калоян  - 2 215,00  м²</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rPr>
            </w:pPr>
            <w:r w:rsidRPr="00590B71">
              <w:rPr>
                <w:rFonts w:ascii="Times New Roman" w:eastAsia="Calibri" w:hAnsi="Times New Roman" w:cs="Times New Roman"/>
                <w:b/>
                <w:b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№1 Подготвителни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i/>
                <w:iCs/>
              </w:rPr>
            </w:pPr>
            <w:r w:rsidRPr="00590B71">
              <w:rPr>
                <w:rFonts w:ascii="Times New Roman" w:eastAsia="Calibri" w:hAnsi="Times New Roman" w:cs="Times New Roman"/>
                <w:b/>
                <w:bCs/>
                <w:i/>
                <w:i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Демонтаж на съществуващи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580,00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Разкъртване на асфалтова настилка,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30,00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№2 Земни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 xml:space="preserve">Изкоп за локален ремонт, включително натоварване, транспортиране на определено разстояние, разтоварване на депо и оформянето му. </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108,00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138,00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lastRenderedPageBreak/>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Технологично фрезоване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1 923,00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№3 Асфалтови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Първи битумен разлив за връзка върху добре почистена основа,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300,00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втори (свързващ) битумен разлив за връзка,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3 385,00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 xml:space="preserve">Доставка и полагане на порьозен асфалтобетон  / биндер /, с дебелина мин. 4 см, включително всички свързани с това разходи. </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161,00</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4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212,64</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№4 Пътни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бетонови бордюри с размер 18/35/50,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580,00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трошенокаменна настилка, фр. 0-63мм, включително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108,00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№7 Пътна маркировка и сигнализация</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хоризонтална маркировка от боя с перли- машинно и ръчно, съгласно чертежите,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24,01</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на стандартни, рефлектиращи пътни знаци, включително стойки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19,00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Укрепване на стандартни знаци,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19,00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Временна организация на движението, както и всички необходими изисквания, съгласно съгласуването с органите на РДВР-ПП (КАТ).</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глоб.  сума</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Подобект 3 : Улица Климент Охридски, гр. Цар Калоян  - 1 946,11 м²</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rPr>
            </w:pPr>
            <w:r w:rsidRPr="00590B71">
              <w:rPr>
                <w:rFonts w:ascii="Times New Roman" w:eastAsia="Calibri" w:hAnsi="Times New Roman" w:cs="Times New Roman"/>
                <w:b/>
                <w:b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№1 Подготвителни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i/>
                <w:iCs/>
              </w:rPr>
            </w:pPr>
            <w:r w:rsidRPr="00590B71">
              <w:rPr>
                <w:rFonts w:ascii="Times New Roman" w:eastAsia="Calibri" w:hAnsi="Times New Roman" w:cs="Times New Roman"/>
                <w:b/>
                <w:bCs/>
                <w:i/>
                <w:i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Демонтаж на съществуващи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594,00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Разкъртване  на асфалтова  настилка,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48,00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№2 Земни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 xml:space="preserve">Изкоп за локален ремонт, включително натоварване, транспортиране на определено разстояние, разтоварване на депо и оформянето му. </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237,60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120,00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lastRenderedPageBreak/>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Технологично фрезоване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1 219,00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№3 Асфалтови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Първи битумен разлив за връзка върху добре почистена основа,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480,00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втори (свързващ) битумен разлив за връзка,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3 227,22</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 xml:space="preserve">Доставка и полагане на порьозен асфалтобетон  / биндер / дебелина мин. 4 см, включително всички свързани с това разходи. </w:t>
            </w:r>
          </w:p>
        </w:tc>
        <w:tc>
          <w:tcPr>
            <w:tcW w:w="970"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243,57</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4 см, включително всички свързани с това разходи.</w:t>
            </w:r>
          </w:p>
        </w:tc>
        <w:tc>
          <w:tcPr>
            <w:tcW w:w="970"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186,72</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№4 Пътни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бетонови бордюри с размер 18/35/50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615,00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трошенокаменна настилка фр.0-63мм, включително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237,60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Подмяна на метален парапет и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Корекция нивото на РШ, вкл. нови капаци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5</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хоризонтална маркировка от боя с перли- машинно и ръчно, съгласно чертежите,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16,08</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6</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на стандартни, рефлектиращи пътни знаци, включително стойки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7</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Укрепване на стандартни знаци,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8</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Временна организация на движението, както и всички необходими изисквания, съгласно съгласуването с органите на РДВР-ПП (КАТ).</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глоб.  сума</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w:t>
            </w:r>
          </w:p>
        </w:tc>
      </w:tr>
      <w:tr w:rsidR="00590B71" w:rsidRPr="00590B71" w:rsidTr="00380584">
        <w:trPr>
          <w:trHeight w:val="498"/>
        </w:trPr>
        <w:tc>
          <w:tcPr>
            <w:tcW w:w="438"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6083"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ПОДОБЕКТ 5: Част от улицa “Плиска” в гр. Цар Калоян  - 1 511.10 м²</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rPr>
            </w:pPr>
            <w:r w:rsidRPr="00590B71">
              <w:rPr>
                <w:rFonts w:ascii="Times New Roman" w:eastAsia="Calibri" w:hAnsi="Times New Roman" w:cs="Times New Roman"/>
                <w:b/>
                <w:b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rPr>
            </w:pPr>
            <w:r w:rsidRPr="00590B71">
              <w:rPr>
                <w:rFonts w:ascii="Times New Roman" w:eastAsia="Calibri" w:hAnsi="Times New Roman" w:cs="Times New Roman"/>
                <w:b/>
                <w:bCs/>
              </w:rPr>
              <w:t> </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№1 Подготвителни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b/>
                <w:bCs/>
                <w:i/>
                <w:iCs/>
              </w:rPr>
            </w:pPr>
            <w:r w:rsidRPr="00590B71">
              <w:rPr>
                <w:rFonts w:ascii="Times New Roman" w:eastAsia="Calibri" w:hAnsi="Times New Roman" w:cs="Times New Roman"/>
                <w:b/>
                <w:bCs/>
                <w:i/>
                <w:iCs/>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Демонтаж на съществуващи бордюри,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413,60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№2 Земни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Технологично фрезоване на асфалтобетонова настилка, включително всички съпътстващи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990,60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№3 Асфалтови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1248"/>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lastRenderedPageBreak/>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Изкърпване на единични дупки и деформации на настилката с гореща неплътна асф. смес - с дебелина от 4 до 6 см ръчно, оформяне, почистване, полагане, уплътняване, извозване на отпадъците на депо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219,92</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първи битумен разлив за връзка върху добре почистена основа,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45,00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Направа на втори (свързващ) битумен разлив за връзка,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2 932,20</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порьозен асфалтобетон  / биндер /, с дебелина след уплътняването мин. 4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171,91</w:t>
            </w:r>
          </w:p>
        </w:tc>
      </w:tr>
      <w:tr w:rsidR="00590B71" w:rsidRPr="00590B71" w:rsidTr="00380584">
        <w:trPr>
          <w:trHeight w:val="936"/>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5</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плътен асфалтобетон, тип  А,  за износващ пласт с дебелина след уплътняването 4 см,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т</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145,07</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№4 Пътни работи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 </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бетонови бордюри с размер 18/35/50,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420,00</w:t>
            </w:r>
          </w:p>
        </w:tc>
      </w:tr>
      <w:tr w:rsidR="00590B71" w:rsidRPr="00590B71" w:rsidTr="00380584">
        <w:trPr>
          <w:trHeight w:val="624"/>
        </w:trPr>
        <w:tc>
          <w:tcPr>
            <w:tcW w:w="438"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материал за попълване зад бордюри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м³</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63,00</w:t>
            </w:r>
          </w:p>
        </w:tc>
      </w:tr>
      <w:tr w:rsidR="00590B71" w:rsidRPr="00590B71" w:rsidTr="00380584">
        <w:trPr>
          <w:trHeight w:val="498"/>
        </w:trPr>
        <w:tc>
          <w:tcPr>
            <w:tcW w:w="438"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6083"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Сметка №7 Пътна маркировка и сигнализация</w:t>
            </w:r>
          </w:p>
        </w:tc>
        <w:tc>
          <w:tcPr>
            <w:tcW w:w="970" w:type="dxa"/>
            <w:hideMark/>
          </w:tcPr>
          <w:p w:rsidR="00590B71" w:rsidRPr="00590B71" w:rsidRDefault="00590B71" w:rsidP="00590B71">
            <w:pPr>
              <w:spacing w:line="276" w:lineRule="auto"/>
              <w:jc w:val="both"/>
              <w:rPr>
                <w:rFonts w:ascii="Times New Roman" w:eastAsia="Calibri" w:hAnsi="Times New Roman" w:cs="Times New Roman"/>
                <w:b/>
                <w:bCs/>
                <w:i/>
                <w:iCs/>
              </w:rPr>
            </w:pPr>
            <w:r w:rsidRPr="00590B71">
              <w:rPr>
                <w:rFonts w:ascii="Times New Roman" w:eastAsia="Calibri" w:hAnsi="Times New Roman" w:cs="Times New Roman"/>
                <w:b/>
                <w:bCs/>
                <w:i/>
                <w:iCs/>
              </w:rPr>
              <w:t> </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i/>
                <w:iCs/>
              </w:rPr>
            </w:pPr>
            <w:r w:rsidRPr="00590B71">
              <w:rPr>
                <w:rFonts w:ascii="Times New Roman" w:eastAsia="Calibri" w:hAnsi="Times New Roman" w:cs="Times New Roman"/>
                <w:i/>
                <w:iCs/>
              </w:rPr>
              <w:t> </w:t>
            </w:r>
          </w:p>
        </w:tc>
      </w:tr>
      <w:tr w:rsidR="00590B71" w:rsidRPr="00590B71" w:rsidTr="00380584">
        <w:trPr>
          <w:trHeight w:val="936"/>
        </w:trPr>
        <w:tc>
          <w:tcPr>
            <w:tcW w:w="438"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1</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и полагане на хоризонтална маркировка от боя с перли- машинно и ръчно, съгласно чертежите,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м²</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16,45</w:t>
            </w:r>
          </w:p>
        </w:tc>
      </w:tr>
      <w:tr w:rsidR="00590B71" w:rsidRPr="00590B71" w:rsidTr="00380584">
        <w:trPr>
          <w:trHeight w:val="624"/>
        </w:trPr>
        <w:tc>
          <w:tcPr>
            <w:tcW w:w="438"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2</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Доставка  на стандартни, рефлектиращи пътни знаци, включително стойки и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9,00</w:t>
            </w:r>
          </w:p>
        </w:tc>
      </w:tr>
      <w:tr w:rsidR="00590B71" w:rsidRPr="00590B71" w:rsidTr="00380584">
        <w:trPr>
          <w:trHeight w:val="624"/>
        </w:trPr>
        <w:tc>
          <w:tcPr>
            <w:tcW w:w="438"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3</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Укрепване на стандартни знаци, включително всички свързани с това разходи.</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бр</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9,00</w:t>
            </w:r>
          </w:p>
        </w:tc>
      </w:tr>
      <w:tr w:rsidR="00590B71" w:rsidRPr="00590B71" w:rsidTr="00380584">
        <w:trPr>
          <w:trHeight w:val="624"/>
        </w:trPr>
        <w:tc>
          <w:tcPr>
            <w:tcW w:w="438"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4</w:t>
            </w:r>
          </w:p>
        </w:tc>
        <w:tc>
          <w:tcPr>
            <w:tcW w:w="6083" w:type="dxa"/>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Временна организация на движението , както и всички необходими изисквания, съгласно съгласуването с органите на РДВР-ПП (КАТ).</w:t>
            </w:r>
          </w:p>
        </w:tc>
        <w:tc>
          <w:tcPr>
            <w:tcW w:w="970" w:type="dxa"/>
            <w:noWrap/>
            <w:hideMark/>
          </w:tcPr>
          <w:p w:rsidR="00590B71" w:rsidRPr="00590B71" w:rsidRDefault="00590B71" w:rsidP="00590B71">
            <w:pPr>
              <w:spacing w:line="276" w:lineRule="auto"/>
              <w:jc w:val="both"/>
              <w:rPr>
                <w:rFonts w:ascii="Times New Roman" w:eastAsia="Calibri" w:hAnsi="Times New Roman" w:cs="Times New Roman"/>
              </w:rPr>
            </w:pPr>
            <w:r w:rsidRPr="00590B71">
              <w:rPr>
                <w:rFonts w:ascii="Times New Roman" w:eastAsia="Calibri" w:hAnsi="Times New Roman" w:cs="Times New Roman"/>
              </w:rPr>
              <w:t>глоб.  сума</w:t>
            </w:r>
          </w:p>
        </w:tc>
        <w:tc>
          <w:tcPr>
            <w:tcW w:w="1434" w:type="dxa"/>
            <w:noWrap/>
            <w:hideMark/>
          </w:tcPr>
          <w:p w:rsidR="00590B71" w:rsidRPr="00590B71" w:rsidRDefault="00590B71" w:rsidP="00590B71">
            <w:pPr>
              <w:spacing w:line="276" w:lineRule="auto"/>
              <w:jc w:val="right"/>
              <w:rPr>
                <w:rFonts w:ascii="Times New Roman" w:eastAsia="Calibri" w:hAnsi="Times New Roman" w:cs="Times New Roman"/>
              </w:rPr>
            </w:pPr>
            <w:r w:rsidRPr="00590B71">
              <w:rPr>
                <w:rFonts w:ascii="Times New Roman" w:eastAsia="Calibri" w:hAnsi="Times New Roman" w:cs="Times New Roman"/>
              </w:rPr>
              <w:t>1,00</w:t>
            </w:r>
          </w:p>
        </w:tc>
      </w:tr>
    </w:tbl>
    <w:p w:rsidR="009357CD" w:rsidRDefault="009357CD" w:rsidP="009446BE">
      <w:pPr>
        <w:pStyle w:val="NoSpacing"/>
        <w:jc w:val="both"/>
        <w:rPr>
          <w:rFonts w:ascii="Times New Roman" w:hAnsi="Times New Roman" w:cs="Times New Roman"/>
          <w:sz w:val="24"/>
          <w:szCs w:val="24"/>
          <w:lang w:val="en-US"/>
        </w:rPr>
      </w:pPr>
    </w:p>
    <w:p w:rsidR="009357CD" w:rsidRDefault="009357CD" w:rsidP="009446BE">
      <w:pPr>
        <w:pStyle w:val="NoSpacing"/>
        <w:jc w:val="both"/>
        <w:rPr>
          <w:rFonts w:ascii="Times New Roman" w:hAnsi="Times New Roman" w:cs="Times New Roman"/>
          <w:sz w:val="24"/>
          <w:szCs w:val="24"/>
          <w:lang w:val="en-US"/>
        </w:rPr>
      </w:pPr>
      <w:bookmarkStart w:id="1" w:name="_GoBack"/>
      <w:bookmarkEnd w:id="1"/>
    </w:p>
    <w:sectPr w:rsidR="00935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D8E"/>
    <w:multiLevelType w:val="hybridMultilevel"/>
    <w:tmpl w:val="06BEF358"/>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B86788B"/>
    <w:multiLevelType w:val="hybridMultilevel"/>
    <w:tmpl w:val="579C95B4"/>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63C1C36"/>
    <w:multiLevelType w:val="hybridMultilevel"/>
    <w:tmpl w:val="07B86E80"/>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A2D5A08"/>
    <w:multiLevelType w:val="hybridMultilevel"/>
    <w:tmpl w:val="19A070C0"/>
    <w:lvl w:ilvl="0" w:tplc="E1ECA742">
      <w:start w:val="2"/>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549A6627"/>
    <w:multiLevelType w:val="hybridMultilevel"/>
    <w:tmpl w:val="5080D2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44E4867"/>
    <w:multiLevelType w:val="hybridMultilevel"/>
    <w:tmpl w:val="A4827D7A"/>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622622A"/>
    <w:multiLevelType w:val="hybridMultilevel"/>
    <w:tmpl w:val="03D092F2"/>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62F461D"/>
    <w:multiLevelType w:val="hybridMultilevel"/>
    <w:tmpl w:val="F634E36A"/>
    <w:lvl w:ilvl="0" w:tplc="7996CCD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6D75DC4"/>
    <w:multiLevelType w:val="hybridMultilevel"/>
    <w:tmpl w:val="D36C6740"/>
    <w:lvl w:ilvl="0" w:tplc="7E94916E">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B5E1BA5"/>
    <w:multiLevelType w:val="hybridMultilevel"/>
    <w:tmpl w:val="10D89A54"/>
    <w:lvl w:ilvl="0" w:tplc="04020013">
      <w:start w:val="1"/>
      <w:numFmt w:val="upperRoman"/>
      <w:lvlText w:val="%1."/>
      <w:lvlJc w:val="righ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10"/>
  </w:num>
  <w:num w:numId="6">
    <w:abstractNumId w:val="2"/>
  </w:num>
  <w:num w:numId="7">
    <w:abstractNumId w:val="9"/>
  </w:num>
  <w:num w:numId="8">
    <w:abstractNumId w:val="4"/>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CF"/>
    <w:rsid w:val="002155CF"/>
    <w:rsid w:val="0035518E"/>
    <w:rsid w:val="00561388"/>
    <w:rsid w:val="00590B71"/>
    <w:rsid w:val="005A35E6"/>
    <w:rsid w:val="008C5BCB"/>
    <w:rsid w:val="009357CD"/>
    <w:rsid w:val="009446BE"/>
    <w:rsid w:val="00B25A7B"/>
    <w:rsid w:val="00C24718"/>
    <w:rsid w:val="00C52DDF"/>
    <w:rsid w:val="00D55875"/>
    <w:rsid w:val="00E11CCF"/>
    <w:rsid w:val="00FB57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5C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446BE"/>
    <w:pPr>
      <w:spacing w:after="0" w:line="240" w:lineRule="auto"/>
    </w:pPr>
  </w:style>
  <w:style w:type="table" w:styleId="TableGrid">
    <w:name w:val="Table Grid"/>
    <w:basedOn w:val="TableNormal"/>
    <w:uiPriority w:val="39"/>
    <w:rsid w:val="0059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357CD"/>
    <w:pPr>
      <w:ind w:left="720"/>
      <w:contextualSpacing/>
    </w:pPr>
  </w:style>
  <w:style w:type="paragraph" w:customStyle="1" w:styleId="Header1">
    <w:name w:val="Header1"/>
    <w:basedOn w:val="Normal"/>
    <w:next w:val="Header"/>
    <w:link w:val="HeaderChar"/>
    <w:uiPriority w:val="99"/>
    <w:unhideWhenUsed/>
    <w:rsid w:val="009357CD"/>
    <w:pPr>
      <w:tabs>
        <w:tab w:val="center" w:pos="4536"/>
        <w:tab w:val="right" w:pos="9072"/>
      </w:tabs>
      <w:spacing w:after="0" w:line="240" w:lineRule="auto"/>
    </w:pPr>
  </w:style>
  <w:style w:type="character" w:customStyle="1" w:styleId="HeaderChar">
    <w:name w:val="Header Char"/>
    <w:basedOn w:val="DefaultParagraphFont"/>
    <w:link w:val="Header1"/>
    <w:uiPriority w:val="99"/>
    <w:rsid w:val="009357CD"/>
  </w:style>
  <w:style w:type="paragraph" w:customStyle="1" w:styleId="Footer1">
    <w:name w:val="Footer1"/>
    <w:basedOn w:val="Normal"/>
    <w:next w:val="Footer"/>
    <w:link w:val="FooterChar"/>
    <w:uiPriority w:val="99"/>
    <w:unhideWhenUsed/>
    <w:rsid w:val="009357CD"/>
    <w:pPr>
      <w:tabs>
        <w:tab w:val="center" w:pos="4536"/>
        <w:tab w:val="right" w:pos="9072"/>
      </w:tabs>
      <w:spacing w:after="0" w:line="240" w:lineRule="auto"/>
    </w:pPr>
  </w:style>
  <w:style w:type="character" w:customStyle="1" w:styleId="FooterChar">
    <w:name w:val="Footer Char"/>
    <w:basedOn w:val="DefaultParagraphFont"/>
    <w:link w:val="Footer1"/>
    <w:uiPriority w:val="99"/>
    <w:rsid w:val="009357CD"/>
  </w:style>
  <w:style w:type="character" w:styleId="Hyperlink">
    <w:name w:val="Hyperlink"/>
    <w:basedOn w:val="DefaultParagraphFont"/>
    <w:uiPriority w:val="99"/>
    <w:semiHidden/>
    <w:unhideWhenUsed/>
    <w:rsid w:val="009357CD"/>
    <w:rPr>
      <w:color w:val="0000FF"/>
      <w:u w:val="single"/>
    </w:rPr>
  </w:style>
  <w:style w:type="character" w:styleId="FollowedHyperlink">
    <w:name w:val="FollowedHyperlink"/>
    <w:basedOn w:val="DefaultParagraphFont"/>
    <w:uiPriority w:val="99"/>
    <w:semiHidden/>
    <w:unhideWhenUsed/>
    <w:rsid w:val="009357CD"/>
    <w:rPr>
      <w:color w:val="800080"/>
      <w:u w:val="single"/>
    </w:rPr>
  </w:style>
  <w:style w:type="paragraph" w:customStyle="1" w:styleId="msonormal0">
    <w:name w:val="msonormal"/>
    <w:basedOn w:val="Normal"/>
    <w:rsid w:val="009357C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rsid w:val="009357CD"/>
    <w:pPr>
      <w:spacing w:before="100" w:beforeAutospacing="1" w:after="100" w:afterAutospacing="1" w:line="240" w:lineRule="auto"/>
    </w:pPr>
    <w:rPr>
      <w:rFonts w:ascii="Calibri" w:eastAsia="Times New Roman" w:hAnsi="Calibri" w:cs="Times New Roman"/>
      <w:b/>
      <w:bCs/>
      <w:sz w:val="24"/>
      <w:szCs w:val="24"/>
      <w:lang w:eastAsia="bg-BG"/>
    </w:rPr>
  </w:style>
  <w:style w:type="paragraph" w:customStyle="1" w:styleId="xl82">
    <w:name w:val="xl82"/>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4">
    <w:name w:val="xl8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5">
    <w:name w:val="xl8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86">
    <w:name w:val="xl86"/>
    <w:basedOn w:val="Normal"/>
    <w:rsid w:val="009357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87">
    <w:name w:val="xl8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8">
    <w:name w:val="xl8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89">
    <w:name w:val="xl8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0">
    <w:name w:val="xl9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2">
    <w:name w:val="xl9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93">
    <w:name w:val="xl9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4">
    <w:name w:val="xl9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5">
    <w:name w:val="xl9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96">
    <w:name w:val="xl9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7">
    <w:name w:val="xl9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5">
    <w:name w:val="xl10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6">
    <w:name w:val="xl10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7">
    <w:name w:val="xl10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108">
    <w:name w:val="xl10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109">
    <w:name w:val="xl10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14">
    <w:name w:val="xl11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15">
    <w:name w:val="xl11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8">
    <w:name w:val="xl118"/>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9">
    <w:name w:val="xl11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1">
    <w:name w:val="xl12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2">
    <w:name w:val="xl12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4">
    <w:name w:val="xl124"/>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5">
    <w:name w:val="xl12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6">
    <w:name w:val="xl12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7">
    <w:name w:val="xl12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8">
    <w:name w:val="xl12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9">
    <w:name w:val="xl12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0">
    <w:name w:val="xl13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bg-BG"/>
    </w:rPr>
  </w:style>
  <w:style w:type="paragraph" w:customStyle="1" w:styleId="xl131">
    <w:name w:val="xl13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2">
    <w:name w:val="xl13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3">
    <w:name w:val="xl13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bg-BG"/>
    </w:rPr>
  </w:style>
  <w:style w:type="paragraph" w:customStyle="1" w:styleId="xl134">
    <w:name w:val="xl13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bg-BG"/>
    </w:rPr>
  </w:style>
  <w:style w:type="paragraph" w:customStyle="1" w:styleId="xl135">
    <w:name w:val="xl13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36">
    <w:name w:val="xl13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BalloonText1">
    <w:name w:val="Balloon Text1"/>
    <w:basedOn w:val="Normal"/>
    <w:next w:val="BalloonText"/>
    <w:link w:val="BalloonTextChar"/>
    <w:uiPriority w:val="99"/>
    <w:semiHidden/>
    <w:unhideWhenUsed/>
    <w:rsid w:val="009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57CD"/>
    <w:rPr>
      <w:rFonts w:ascii="Tahoma" w:hAnsi="Tahoma" w:cs="Tahoma"/>
      <w:sz w:val="16"/>
      <w:szCs w:val="16"/>
    </w:rPr>
  </w:style>
  <w:style w:type="paragraph" w:styleId="ListParagraph">
    <w:name w:val="List Paragraph"/>
    <w:basedOn w:val="Normal"/>
    <w:uiPriority w:val="34"/>
    <w:qFormat/>
    <w:rsid w:val="009357CD"/>
    <w:pPr>
      <w:ind w:left="720"/>
      <w:contextualSpacing/>
    </w:pPr>
  </w:style>
  <w:style w:type="paragraph" w:styleId="Header">
    <w:name w:val="header"/>
    <w:basedOn w:val="Normal"/>
    <w:link w:val="HeaderChar1"/>
    <w:uiPriority w:val="99"/>
    <w:semiHidden/>
    <w:unhideWhenUsed/>
    <w:rsid w:val="009357C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9357CD"/>
  </w:style>
  <w:style w:type="paragraph" w:styleId="Footer">
    <w:name w:val="footer"/>
    <w:basedOn w:val="Normal"/>
    <w:link w:val="FooterChar1"/>
    <w:uiPriority w:val="99"/>
    <w:semiHidden/>
    <w:unhideWhenUsed/>
    <w:rsid w:val="009357C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9357CD"/>
  </w:style>
  <w:style w:type="paragraph" w:styleId="BalloonText">
    <w:name w:val="Balloon Text"/>
    <w:basedOn w:val="Normal"/>
    <w:link w:val="BalloonTextChar1"/>
    <w:uiPriority w:val="99"/>
    <w:semiHidden/>
    <w:unhideWhenUsed/>
    <w:rsid w:val="009357C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35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5C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446BE"/>
    <w:pPr>
      <w:spacing w:after="0" w:line="240" w:lineRule="auto"/>
    </w:pPr>
  </w:style>
  <w:style w:type="table" w:styleId="TableGrid">
    <w:name w:val="Table Grid"/>
    <w:basedOn w:val="TableNormal"/>
    <w:uiPriority w:val="39"/>
    <w:rsid w:val="0059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9357CD"/>
    <w:pPr>
      <w:ind w:left="720"/>
      <w:contextualSpacing/>
    </w:pPr>
  </w:style>
  <w:style w:type="paragraph" w:customStyle="1" w:styleId="Header1">
    <w:name w:val="Header1"/>
    <w:basedOn w:val="Normal"/>
    <w:next w:val="Header"/>
    <w:link w:val="HeaderChar"/>
    <w:uiPriority w:val="99"/>
    <w:unhideWhenUsed/>
    <w:rsid w:val="009357CD"/>
    <w:pPr>
      <w:tabs>
        <w:tab w:val="center" w:pos="4536"/>
        <w:tab w:val="right" w:pos="9072"/>
      </w:tabs>
      <w:spacing w:after="0" w:line="240" w:lineRule="auto"/>
    </w:pPr>
  </w:style>
  <w:style w:type="character" w:customStyle="1" w:styleId="HeaderChar">
    <w:name w:val="Header Char"/>
    <w:basedOn w:val="DefaultParagraphFont"/>
    <w:link w:val="Header1"/>
    <w:uiPriority w:val="99"/>
    <w:rsid w:val="009357CD"/>
  </w:style>
  <w:style w:type="paragraph" w:customStyle="1" w:styleId="Footer1">
    <w:name w:val="Footer1"/>
    <w:basedOn w:val="Normal"/>
    <w:next w:val="Footer"/>
    <w:link w:val="FooterChar"/>
    <w:uiPriority w:val="99"/>
    <w:unhideWhenUsed/>
    <w:rsid w:val="009357CD"/>
    <w:pPr>
      <w:tabs>
        <w:tab w:val="center" w:pos="4536"/>
        <w:tab w:val="right" w:pos="9072"/>
      </w:tabs>
      <w:spacing w:after="0" w:line="240" w:lineRule="auto"/>
    </w:pPr>
  </w:style>
  <w:style w:type="character" w:customStyle="1" w:styleId="FooterChar">
    <w:name w:val="Footer Char"/>
    <w:basedOn w:val="DefaultParagraphFont"/>
    <w:link w:val="Footer1"/>
    <w:uiPriority w:val="99"/>
    <w:rsid w:val="009357CD"/>
  </w:style>
  <w:style w:type="character" w:styleId="Hyperlink">
    <w:name w:val="Hyperlink"/>
    <w:basedOn w:val="DefaultParagraphFont"/>
    <w:uiPriority w:val="99"/>
    <w:semiHidden/>
    <w:unhideWhenUsed/>
    <w:rsid w:val="009357CD"/>
    <w:rPr>
      <w:color w:val="0000FF"/>
      <w:u w:val="single"/>
    </w:rPr>
  </w:style>
  <w:style w:type="character" w:styleId="FollowedHyperlink">
    <w:name w:val="FollowedHyperlink"/>
    <w:basedOn w:val="DefaultParagraphFont"/>
    <w:uiPriority w:val="99"/>
    <w:semiHidden/>
    <w:unhideWhenUsed/>
    <w:rsid w:val="009357CD"/>
    <w:rPr>
      <w:color w:val="800080"/>
      <w:u w:val="single"/>
    </w:rPr>
  </w:style>
  <w:style w:type="paragraph" w:customStyle="1" w:styleId="msonormal0">
    <w:name w:val="msonormal"/>
    <w:basedOn w:val="Normal"/>
    <w:rsid w:val="009357C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rsid w:val="009357CD"/>
    <w:pPr>
      <w:spacing w:before="100" w:beforeAutospacing="1" w:after="100" w:afterAutospacing="1" w:line="240" w:lineRule="auto"/>
    </w:pPr>
    <w:rPr>
      <w:rFonts w:ascii="Calibri" w:eastAsia="Times New Roman" w:hAnsi="Calibri" w:cs="Times New Roman"/>
      <w:b/>
      <w:bCs/>
      <w:sz w:val="24"/>
      <w:szCs w:val="24"/>
      <w:lang w:eastAsia="bg-BG"/>
    </w:rPr>
  </w:style>
  <w:style w:type="paragraph" w:customStyle="1" w:styleId="xl82">
    <w:name w:val="xl82"/>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4">
    <w:name w:val="xl8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5">
    <w:name w:val="xl8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86">
    <w:name w:val="xl86"/>
    <w:basedOn w:val="Normal"/>
    <w:rsid w:val="009357C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87">
    <w:name w:val="xl8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8">
    <w:name w:val="xl8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89">
    <w:name w:val="xl8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0">
    <w:name w:val="xl9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2">
    <w:name w:val="xl9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93">
    <w:name w:val="xl9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4">
    <w:name w:val="xl9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95">
    <w:name w:val="xl95"/>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96">
    <w:name w:val="xl9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7">
    <w:name w:val="xl9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5">
    <w:name w:val="xl10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6">
    <w:name w:val="xl10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07">
    <w:name w:val="xl107"/>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paragraph" w:customStyle="1" w:styleId="xl108">
    <w:name w:val="xl10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109">
    <w:name w:val="xl10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bg-BG"/>
    </w:rPr>
  </w:style>
  <w:style w:type="paragraph" w:customStyle="1" w:styleId="xl114">
    <w:name w:val="xl114"/>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15">
    <w:name w:val="xl11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8">
    <w:name w:val="xl118"/>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9">
    <w:name w:val="xl119"/>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21">
    <w:name w:val="xl12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2">
    <w:name w:val="xl122"/>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4">
    <w:name w:val="xl124"/>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25">
    <w:name w:val="xl125"/>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6">
    <w:name w:val="xl126"/>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27">
    <w:name w:val="xl12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8">
    <w:name w:val="xl128"/>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29">
    <w:name w:val="xl129"/>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0">
    <w:name w:val="xl130"/>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bg-BG"/>
    </w:rPr>
  </w:style>
  <w:style w:type="paragraph" w:customStyle="1" w:styleId="xl131">
    <w:name w:val="xl131"/>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2">
    <w:name w:val="xl132"/>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paragraph" w:customStyle="1" w:styleId="xl133">
    <w:name w:val="xl133"/>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bg-BG"/>
    </w:rPr>
  </w:style>
  <w:style w:type="paragraph" w:customStyle="1" w:styleId="xl134">
    <w:name w:val="xl134"/>
    <w:basedOn w:val="Normal"/>
    <w:rsid w:val="009357CD"/>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eastAsia="bg-BG"/>
    </w:rPr>
  </w:style>
  <w:style w:type="paragraph" w:customStyle="1" w:styleId="xl135">
    <w:name w:val="xl135"/>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36">
    <w:name w:val="xl136"/>
    <w:basedOn w:val="Normal"/>
    <w:rsid w:val="00935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rsid w:val="009357C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BalloonText1">
    <w:name w:val="Balloon Text1"/>
    <w:basedOn w:val="Normal"/>
    <w:next w:val="BalloonText"/>
    <w:link w:val="BalloonTextChar"/>
    <w:uiPriority w:val="99"/>
    <w:semiHidden/>
    <w:unhideWhenUsed/>
    <w:rsid w:val="0093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357CD"/>
    <w:rPr>
      <w:rFonts w:ascii="Tahoma" w:hAnsi="Tahoma" w:cs="Tahoma"/>
      <w:sz w:val="16"/>
      <w:szCs w:val="16"/>
    </w:rPr>
  </w:style>
  <w:style w:type="paragraph" w:styleId="ListParagraph">
    <w:name w:val="List Paragraph"/>
    <w:basedOn w:val="Normal"/>
    <w:uiPriority w:val="34"/>
    <w:qFormat/>
    <w:rsid w:val="009357CD"/>
    <w:pPr>
      <w:ind w:left="720"/>
      <w:contextualSpacing/>
    </w:pPr>
  </w:style>
  <w:style w:type="paragraph" w:styleId="Header">
    <w:name w:val="header"/>
    <w:basedOn w:val="Normal"/>
    <w:link w:val="HeaderChar1"/>
    <w:uiPriority w:val="99"/>
    <w:semiHidden/>
    <w:unhideWhenUsed/>
    <w:rsid w:val="009357CD"/>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9357CD"/>
  </w:style>
  <w:style w:type="paragraph" w:styleId="Footer">
    <w:name w:val="footer"/>
    <w:basedOn w:val="Normal"/>
    <w:link w:val="FooterChar1"/>
    <w:uiPriority w:val="99"/>
    <w:semiHidden/>
    <w:unhideWhenUsed/>
    <w:rsid w:val="009357CD"/>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9357CD"/>
  </w:style>
  <w:style w:type="paragraph" w:styleId="BalloonText">
    <w:name w:val="Balloon Text"/>
    <w:basedOn w:val="Normal"/>
    <w:link w:val="BalloonTextChar1"/>
    <w:uiPriority w:val="99"/>
    <w:semiHidden/>
    <w:unhideWhenUsed/>
    <w:rsid w:val="009357C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35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3898</Words>
  <Characters>22220</Characters>
  <Application>Microsoft Office Word</Application>
  <DocSecurity>0</DocSecurity>
  <Lines>185</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Ilonka</cp:lastModifiedBy>
  <cp:revision>11</cp:revision>
  <dcterms:created xsi:type="dcterms:W3CDTF">2019-05-13T10:36:00Z</dcterms:created>
  <dcterms:modified xsi:type="dcterms:W3CDTF">2019-07-05T08:30:00Z</dcterms:modified>
</cp:coreProperties>
</file>